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A2" w:rsidRPr="007E1AA2" w:rsidRDefault="007E1AA2" w:rsidP="007E1AA2">
      <w:pPr>
        <w:jc w:val="center"/>
        <w:rPr>
          <w:b/>
        </w:rPr>
      </w:pPr>
      <w:r w:rsidRPr="007E1AA2">
        <w:rPr>
          <w:b/>
        </w:rPr>
        <w:t>Decreto Legislativo n.33/2013 art.29</w:t>
      </w:r>
    </w:p>
    <w:p w:rsidR="007E1AA2" w:rsidRDefault="007E1AA2" w:rsidP="007E1AA2">
      <w:pPr>
        <w:tabs>
          <w:tab w:val="left" w:pos="3433"/>
        </w:tabs>
        <w:jc w:val="center"/>
        <w:rPr>
          <w:b/>
        </w:rPr>
      </w:pPr>
      <w:r w:rsidRPr="007E1AA2">
        <w:rPr>
          <w:b/>
        </w:rPr>
        <w:t>Bilancio di Esercizio 2023</w:t>
      </w:r>
    </w:p>
    <w:p w:rsidR="007E1AA2" w:rsidRDefault="007E1AA2" w:rsidP="007E1AA2"/>
    <w:p w:rsidR="00096252" w:rsidRDefault="007E1AA2" w:rsidP="007E1AA2">
      <w:r>
        <w:t>Il Bilancio di Esercizio relativo all’anno 2023, non è stato ancora approvato. Il termine entro il</w:t>
      </w:r>
      <w:r w:rsidR="00096252">
        <w:t xml:space="preserve"> quale viene convocata l’Assemblea dei Soci è il 30 Giugno 2024. </w:t>
      </w:r>
    </w:p>
    <w:p w:rsidR="00096252" w:rsidRPr="00096252" w:rsidRDefault="00096252" w:rsidP="00096252"/>
    <w:p w:rsidR="00096252" w:rsidRDefault="00096252" w:rsidP="00096252"/>
    <w:sectPr w:rsidR="000962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7E1AA2"/>
    <w:rsid w:val="00096252"/>
    <w:rsid w:val="005E74AD"/>
    <w:rsid w:val="007E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fausto.picone</dc:creator>
  <cp:keywords/>
  <dc:description/>
  <cp:lastModifiedBy>fausto.picone</cp:lastModifiedBy>
  <cp:revision>2</cp:revision>
  <dcterms:created xsi:type="dcterms:W3CDTF">2024-05-28T07:23:00Z</dcterms:created>
  <dcterms:modified xsi:type="dcterms:W3CDTF">2024-05-28T07:48:00Z</dcterms:modified>
</cp:coreProperties>
</file>